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44CC" w14:textId="4AA54DC9" w:rsidR="009A26C9" w:rsidRPr="00B0378C" w:rsidRDefault="005A6997" w:rsidP="009A26C9">
      <w:pPr>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42A5E68B" wp14:editId="729101EE">
            <wp:simplePos x="0" y="0"/>
            <wp:positionH relativeFrom="page">
              <wp:align>right</wp:align>
            </wp:positionH>
            <wp:positionV relativeFrom="page">
              <wp:align>top</wp:align>
            </wp:positionV>
            <wp:extent cx="7772400" cy="10059062"/>
            <wp:effectExtent l="0" t="0" r="0" b="0"/>
            <wp:wrapNone/>
            <wp:docPr id="199817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7613" name="Picture 199817613"/>
                    <pic:cNvPicPr/>
                  </pic:nvPicPr>
                  <pic:blipFill>
                    <a:blip r:embed="rId4">
                      <a:extLst>
                        <a:ext uri="{28A0092B-C50C-407E-A947-70E740481C1C}">
                          <a14:useLocalDpi xmlns:a14="http://schemas.microsoft.com/office/drawing/2010/main" val="0"/>
                        </a:ext>
                      </a:extLst>
                    </a:blip>
                    <a:stretch>
                      <a:fillRect/>
                    </a:stretch>
                  </pic:blipFill>
                  <pic:spPr>
                    <a:xfrm>
                      <a:off x="0" y="0"/>
                      <a:ext cx="7772400" cy="10059062"/>
                    </a:xfrm>
                    <a:prstGeom prst="rect">
                      <a:avLst/>
                    </a:prstGeom>
                  </pic:spPr>
                </pic:pic>
              </a:graphicData>
            </a:graphic>
            <wp14:sizeRelH relativeFrom="margin">
              <wp14:pctWidth>0</wp14:pctWidth>
            </wp14:sizeRelH>
            <wp14:sizeRelV relativeFrom="margin">
              <wp14:pctHeight>0</wp14:pctHeight>
            </wp14:sizeRelV>
          </wp:anchor>
        </w:drawing>
      </w:r>
      <w:r w:rsidR="002E5FC0">
        <w:rPr>
          <w:rFonts w:ascii="Times New Roman" w:hAnsi="Times New Roman" w:cs="Times New Roman"/>
        </w:rPr>
        <w:t>February</w:t>
      </w:r>
      <w:r w:rsidR="009A26C9" w:rsidRPr="00B0378C">
        <w:rPr>
          <w:rFonts w:ascii="Times New Roman" w:hAnsi="Times New Roman" w:cs="Times New Roman"/>
        </w:rPr>
        <w:t xml:space="preserve"> </w:t>
      </w:r>
      <w:r w:rsidR="00863FA4">
        <w:rPr>
          <w:rFonts w:ascii="Times New Roman" w:hAnsi="Times New Roman" w:cs="Times New Roman"/>
        </w:rPr>
        <w:t>25</w:t>
      </w:r>
      <w:r w:rsidR="009A26C9" w:rsidRPr="00B0378C">
        <w:rPr>
          <w:rFonts w:ascii="Times New Roman" w:hAnsi="Times New Roman" w:cs="Times New Roman"/>
        </w:rPr>
        <w:t>, 202</w:t>
      </w:r>
      <w:r w:rsidR="002E5FC0">
        <w:rPr>
          <w:rFonts w:ascii="Times New Roman" w:hAnsi="Times New Roman" w:cs="Times New Roman"/>
        </w:rPr>
        <w:t>6</w:t>
      </w:r>
    </w:p>
    <w:p w14:paraId="7D1C1B00" w14:textId="77777777" w:rsidR="009A26C9" w:rsidRPr="00B0378C" w:rsidRDefault="009A26C9" w:rsidP="009A26C9">
      <w:pPr>
        <w:spacing w:after="0" w:line="240" w:lineRule="auto"/>
        <w:rPr>
          <w:rFonts w:ascii="Times New Roman" w:hAnsi="Times New Roman" w:cs="Times New Roman"/>
        </w:rPr>
        <w:sectPr w:rsidR="009A26C9" w:rsidRPr="00B0378C" w:rsidSect="009A26C9">
          <w:pgSz w:w="12240" w:h="15840"/>
          <w:pgMar w:top="1440" w:right="1080" w:bottom="1440" w:left="2880" w:header="720" w:footer="720" w:gutter="0"/>
          <w:cols w:space="720"/>
          <w:docGrid w:linePitch="360"/>
        </w:sectPr>
      </w:pPr>
    </w:p>
    <w:p w14:paraId="3A44C77C" w14:textId="77777777" w:rsidR="009A26C9" w:rsidRPr="00B0378C" w:rsidRDefault="009A26C9" w:rsidP="009A26C9">
      <w:pPr>
        <w:spacing w:after="0" w:line="240" w:lineRule="auto"/>
        <w:rPr>
          <w:rFonts w:ascii="Times New Roman" w:hAnsi="Times New Roman" w:cs="Times New Roman"/>
        </w:rPr>
        <w:sectPr w:rsidR="009A26C9" w:rsidRPr="00B0378C" w:rsidSect="009A26C9">
          <w:type w:val="continuous"/>
          <w:pgSz w:w="12240" w:h="15840"/>
          <w:pgMar w:top="1440" w:right="1080" w:bottom="1440" w:left="2880" w:header="720" w:footer="720" w:gutter="0"/>
          <w:cols w:num="2" w:space="720"/>
          <w:docGrid w:linePitch="360"/>
        </w:sectPr>
      </w:pPr>
    </w:p>
    <w:p w14:paraId="7BA5BCE1" w14:textId="6FEA8C44" w:rsidR="009A26C9" w:rsidRDefault="00CC0B9D" w:rsidP="009A26C9">
      <w:pPr>
        <w:spacing w:after="0" w:line="240" w:lineRule="auto"/>
        <w:rPr>
          <w:rFonts w:ascii="Times New Roman" w:hAnsi="Times New Roman" w:cs="Times New Roman"/>
        </w:rPr>
      </w:pPr>
      <w:r>
        <w:rPr>
          <w:rFonts w:ascii="Times New Roman" w:hAnsi="Times New Roman" w:cs="Times New Roman"/>
        </w:rPr>
        <w:t>Chair</w:t>
      </w:r>
      <w:r w:rsidR="009A26C9">
        <w:rPr>
          <w:rFonts w:ascii="Times New Roman" w:hAnsi="Times New Roman" w:cs="Times New Roman"/>
        </w:rPr>
        <w:t xml:space="preserve"> </w:t>
      </w:r>
      <w:r>
        <w:rPr>
          <w:rFonts w:ascii="Times New Roman" w:hAnsi="Times New Roman" w:cs="Times New Roman"/>
        </w:rPr>
        <w:t>Karla Lems</w:t>
      </w:r>
    </w:p>
    <w:p w14:paraId="204C05F7" w14:textId="30F44586" w:rsidR="009A26C9" w:rsidRDefault="009A26C9" w:rsidP="009A26C9">
      <w:pPr>
        <w:spacing w:after="0" w:line="240" w:lineRule="auto"/>
        <w:rPr>
          <w:rFonts w:ascii="Times New Roman" w:hAnsi="Times New Roman" w:cs="Times New Roman"/>
        </w:rPr>
      </w:pPr>
      <w:r>
        <w:rPr>
          <w:rFonts w:ascii="Times New Roman" w:hAnsi="Times New Roman" w:cs="Times New Roman"/>
        </w:rPr>
        <w:t xml:space="preserve">House Committee on </w:t>
      </w:r>
      <w:r w:rsidR="00CC0B9D">
        <w:rPr>
          <w:rFonts w:ascii="Times New Roman" w:hAnsi="Times New Roman" w:cs="Times New Roman"/>
        </w:rPr>
        <w:t>Commerce and Energy</w:t>
      </w:r>
    </w:p>
    <w:p w14:paraId="1F8DA2E2" w14:textId="385F7CA3" w:rsidR="009A26C9" w:rsidRDefault="004D65A9" w:rsidP="009A26C9">
      <w:pPr>
        <w:spacing w:after="0" w:line="240" w:lineRule="auto"/>
        <w:rPr>
          <w:rFonts w:ascii="Times New Roman" w:hAnsi="Times New Roman" w:cs="Times New Roman"/>
        </w:rPr>
      </w:pPr>
      <w:r>
        <w:rPr>
          <w:rFonts w:ascii="Times New Roman" w:hAnsi="Times New Roman" w:cs="Times New Roman"/>
        </w:rPr>
        <w:t>South Dakota State Capitol</w:t>
      </w:r>
    </w:p>
    <w:p w14:paraId="17AE7CE3" w14:textId="162CE86E" w:rsidR="009A26C9" w:rsidRDefault="004D65A9" w:rsidP="009A26C9">
      <w:pPr>
        <w:spacing w:after="0" w:line="240" w:lineRule="auto"/>
        <w:rPr>
          <w:rFonts w:ascii="Times New Roman" w:hAnsi="Times New Roman" w:cs="Times New Roman"/>
        </w:rPr>
      </w:pPr>
      <w:r>
        <w:rPr>
          <w:rFonts w:ascii="Times New Roman" w:hAnsi="Times New Roman" w:cs="Times New Roman"/>
        </w:rPr>
        <w:t xml:space="preserve">500 East Capital Avenue </w:t>
      </w:r>
    </w:p>
    <w:p w14:paraId="1BF9E091" w14:textId="01B1A265" w:rsidR="009A26C9" w:rsidRDefault="004D65A9" w:rsidP="009A26C9">
      <w:pPr>
        <w:spacing w:after="0" w:line="240" w:lineRule="auto"/>
        <w:rPr>
          <w:rFonts w:ascii="Times New Roman" w:hAnsi="Times New Roman" w:cs="Times New Roman"/>
        </w:rPr>
      </w:pPr>
      <w:r>
        <w:rPr>
          <w:rFonts w:ascii="Times New Roman" w:hAnsi="Times New Roman" w:cs="Times New Roman"/>
        </w:rPr>
        <w:t xml:space="preserve">Pierre, South Dakota </w:t>
      </w:r>
      <w:r w:rsidR="00863FA4">
        <w:rPr>
          <w:rFonts w:ascii="Times New Roman" w:hAnsi="Times New Roman" w:cs="Times New Roman"/>
        </w:rPr>
        <w:t>57501</w:t>
      </w:r>
    </w:p>
    <w:p w14:paraId="5C28D4D2" w14:textId="77777777" w:rsidR="009A26C9" w:rsidRDefault="009A26C9" w:rsidP="009A26C9">
      <w:pPr>
        <w:spacing w:after="0" w:line="240" w:lineRule="auto"/>
        <w:rPr>
          <w:rFonts w:ascii="Times New Roman" w:hAnsi="Times New Roman" w:cs="Times New Roman"/>
        </w:rPr>
      </w:pPr>
    </w:p>
    <w:p w14:paraId="25795455" w14:textId="77777777" w:rsidR="009A26C9" w:rsidRDefault="009A26C9" w:rsidP="009A26C9">
      <w:pPr>
        <w:spacing w:after="0" w:line="240" w:lineRule="auto"/>
        <w:rPr>
          <w:rFonts w:ascii="Times New Roman" w:hAnsi="Times New Roman" w:cs="Times New Roman"/>
        </w:rPr>
      </w:pPr>
    </w:p>
    <w:p w14:paraId="3AA504C4" w14:textId="7C8A4390" w:rsidR="009A26C9" w:rsidRDefault="009A26C9" w:rsidP="009A26C9">
      <w:pPr>
        <w:rPr>
          <w:rFonts w:ascii="Times New Roman" w:hAnsi="Times New Roman" w:cs="Times New Roman"/>
        </w:rPr>
      </w:pPr>
      <w:r w:rsidRPr="00421A6D">
        <w:rPr>
          <w:rFonts w:ascii="Times New Roman" w:hAnsi="Times New Roman" w:cs="Times New Roman"/>
        </w:rPr>
        <w:t>Subject:</w:t>
      </w:r>
      <w:r>
        <w:rPr>
          <w:rFonts w:ascii="Times New Roman" w:hAnsi="Times New Roman" w:cs="Times New Roman"/>
        </w:rPr>
        <w:t xml:space="preserve"> </w:t>
      </w:r>
      <w:r w:rsidR="004D65A9" w:rsidRPr="004D65A9">
        <w:rPr>
          <w:rFonts w:ascii="Times New Roman" w:hAnsi="Times New Roman" w:cs="Times New Roman"/>
        </w:rPr>
        <w:t>Senate Bill 36 – Clarification Regarding Vegetation Management Implementation</w:t>
      </w:r>
    </w:p>
    <w:p w14:paraId="67B49C68" w14:textId="77777777" w:rsidR="009A26C9" w:rsidRDefault="009A26C9" w:rsidP="009A26C9">
      <w:pPr>
        <w:rPr>
          <w:rFonts w:ascii="Times New Roman" w:hAnsi="Times New Roman" w:cs="Times New Roman"/>
        </w:rPr>
      </w:pPr>
    </w:p>
    <w:p w14:paraId="16E12D62" w14:textId="29E6A457" w:rsidR="009A26C9" w:rsidRPr="00987F71" w:rsidRDefault="009A26C9" w:rsidP="009A26C9">
      <w:pPr>
        <w:rPr>
          <w:rFonts w:ascii="Times New Roman" w:hAnsi="Times New Roman" w:cs="Times New Roman"/>
        </w:rPr>
      </w:pPr>
      <w:r w:rsidRPr="00987F71">
        <w:rPr>
          <w:rFonts w:ascii="Times New Roman" w:hAnsi="Times New Roman" w:cs="Times New Roman"/>
        </w:rPr>
        <w:t xml:space="preserve">Dear Chair </w:t>
      </w:r>
      <w:r w:rsidR="002E5FC0">
        <w:rPr>
          <w:rFonts w:ascii="Times New Roman" w:hAnsi="Times New Roman" w:cs="Times New Roman"/>
        </w:rPr>
        <w:t>Lems</w:t>
      </w:r>
      <w:r>
        <w:rPr>
          <w:rFonts w:ascii="Times New Roman" w:hAnsi="Times New Roman" w:cs="Times New Roman"/>
        </w:rPr>
        <w:t xml:space="preserve">, Vice Chair </w:t>
      </w:r>
      <w:proofErr w:type="spellStart"/>
      <w:r w:rsidR="002E5FC0">
        <w:rPr>
          <w:rFonts w:ascii="Times New Roman" w:hAnsi="Times New Roman" w:cs="Times New Roman"/>
        </w:rPr>
        <w:t>Bahmuller</w:t>
      </w:r>
      <w:proofErr w:type="spellEnd"/>
      <w:r>
        <w:rPr>
          <w:rFonts w:ascii="Times New Roman" w:hAnsi="Times New Roman" w:cs="Times New Roman"/>
        </w:rPr>
        <w:t xml:space="preserve">, and Members of the House Committee on </w:t>
      </w:r>
      <w:r w:rsidR="002E5FC0">
        <w:rPr>
          <w:rFonts w:ascii="Times New Roman" w:hAnsi="Times New Roman" w:cs="Times New Roman"/>
        </w:rPr>
        <w:t>Commerce and Energy</w:t>
      </w:r>
      <w:r>
        <w:rPr>
          <w:rFonts w:ascii="Times New Roman" w:hAnsi="Times New Roman" w:cs="Times New Roman"/>
        </w:rPr>
        <w:t>:</w:t>
      </w:r>
    </w:p>
    <w:p w14:paraId="539C6325" w14:textId="683222D7" w:rsidR="001A3199" w:rsidRDefault="001A3199" w:rsidP="009A26C9">
      <w:pPr>
        <w:rPr>
          <w:rFonts w:ascii="Times New Roman" w:hAnsi="Times New Roman" w:cs="Times New Roman"/>
        </w:rPr>
      </w:pPr>
      <w:r w:rsidRPr="001A3199">
        <w:rPr>
          <w:rFonts w:ascii="Times New Roman" w:hAnsi="Times New Roman" w:cs="Times New Roman"/>
        </w:rPr>
        <w:t xml:space="preserve">On behalf of the Tree Care Industry Association (TCIA), I write to express our appreciation for the Legislature’s work to reduce wildfire risk through structured mitigation planning. </w:t>
      </w:r>
      <w:r w:rsidR="000D6018" w:rsidRPr="000D6018">
        <w:rPr>
          <w:rFonts w:ascii="Times New Roman" w:hAnsi="Times New Roman" w:cs="Times New Roman"/>
        </w:rPr>
        <w:t xml:space="preserve">Senate Bill 36 authorizes qualified utilities to establish wildfire mitigation plans and provides defined liability standards for utilities that maintain a valid and current plan and substantially comply with its essential elements. TCIA supports the goals of the bill and respectfully requests clarification that vegetation management work performed by specialized utility vegetation management (UVM) contractors—when conducted under the authority and direction of a qualified utility and in furtherance of a valid and </w:t>
      </w:r>
      <w:proofErr w:type="gramStart"/>
      <w:r w:rsidR="000D6018" w:rsidRPr="000D6018">
        <w:rPr>
          <w:rFonts w:ascii="Times New Roman" w:hAnsi="Times New Roman" w:cs="Times New Roman"/>
        </w:rPr>
        <w:t>current wildfire</w:t>
      </w:r>
      <w:proofErr w:type="gramEnd"/>
      <w:r w:rsidR="000D6018" w:rsidRPr="000D6018">
        <w:rPr>
          <w:rFonts w:ascii="Times New Roman" w:hAnsi="Times New Roman" w:cs="Times New Roman"/>
        </w:rPr>
        <w:t xml:space="preserve"> mitigation </w:t>
      </w:r>
      <w:proofErr w:type="gramStart"/>
      <w:r w:rsidR="000D6018" w:rsidRPr="000D6018">
        <w:rPr>
          <w:rFonts w:ascii="Times New Roman" w:hAnsi="Times New Roman" w:cs="Times New Roman"/>
        </w:rPr>
        <w:t>plan—is treated</w:t>
      </w:r>
      <w:proofErr w:type="gramEnd"/>
      <w:r w:rsidR="000D6018" w:rsidRPr="000D6018">
        <w:rPr>
          <w:rFonts w:ascii="Times New Roman" w:hAnsi="Times New Roman" w:cs="Times New Roman"/>
        </w:rPr>
        <w:t xml:space="preserve"> consistently with the liability structure established in Section 6</w:t>
      </w:r>
      <w:r w:rsidRPr="001A3199">
        <w:rPr>
          <w:rFonts w:ascii="Times New Roman" w:hAnsi="Times New Roman" w:cs="Times New Roman"/>
        </w:rPr>
        <w:t>.</w:t>
      </w:r>
    </w:p>
    <w:p w14:paraId="4BC8A7CD" w14:textId="0C37CC11" w:rsidR="009A26C9" w:rsidRPr="001830C0" w:rsidRDefault="009A26C9" w:rsidP="009A26C9">
      <w:pPr>
        <w:rPr>
          <w:rFonts w:ascii="Times New Roman" w:hAnsi="Times New Roman" w:cs="Times New Roman"/>
        </w:rPr>
      </w:pPr>
      <w:r w:rsidRPr="001830C0">
        <w:rPr>
          <w:rFonts w:ascii="Times New Roman" w:hAnsi="Times New Roman" w:cs="Times New Roman"/>
        </w:rPr>
        <w:t>TCIA is a national trade association representing approximately 1,400 businesses across the country that engage in commercial tree care, including utility vegetation management. Collectively, our members employ more than 150,000 people and provide critical services to residential communities, businesses, utilities, and governments. Our members play a vital role in wildfire prevention by identifying and mitigating hazardous vegetation near powerlines, maintaining utility rights-of-way, and reducing ignition risks in wildfire-prone areas.</w:t>
      </w:r>
    </w:p>
    <w:p w14:paraId="6B0CCE42" w14:textId="4EB0B292" w:rsidR="00AB0B0D" w:rsidRDefault="00863FA4" w:rsidP="009A26C9">
      <w:pPr>
        <w:rPr>
          <w:rFonts w:ascii="Times New Roman" w:hAnsi="Times New Roman" w:cs="Times New Roman"/>
        </w:rPr>
      </w:pPr>
      <w:r w:rsidRPr="00863FA4">
        <w:rPr>
          <w:rFonts w:ascii="Times New Roman" w:hAnsi="Times New Roman" w:cs="Times New Roman"/>
        </w:rPr>
        <w:t>In that context,</w:t>
      </w:r>
      <w:r>
        <w:rPr>
          <w:rFonts w:ascii="Times New Roman" w:hAnsi="Times New Roman" w:cs="Times New Roman"/>
        </w:rPr>
        <w:t xml:space="preserve"> s</w:t>
      </w:r>
      <w:r w:rsidR="000D6018" w:rsidRPr="000D6018">
        <w:rPr>
          <w:rFonts w:ascii="Times New Roman" w:hAnsi="Times New Roman" w:cs="Times New Roman"/>
        </w:rPr>
        <w:t xml:space="preserve">ection 4(3) of SB 36 requires wildfire mitigation plans to include the procedures, strategies, and standards a qualified utility will use to perform vegetation management. In practice, </w:t>
      </w:r>
      <w:proofErr w:type="gramStart"/>
      <w:r w:rsidR="000D6018" w:rsidRPr="000D6018">
        <w:rPr>
          <w:rFonts w:ascii="Times New Roman" w:hAnsi="Times New Roman" w:cs="Times New Roman"/>
        </w:rPr>
        <w:t>the majority of</w:t>
      </w:r>
      <w:proofErr w:type="gramEnd"/>
      <w:r w:rsidR="000D6018" w:rsidRPr="000D6018">
        <w:rPr>
          <w:rFonts w:ascii="Times New Roman" w:hAnsi="Times New Roman" w:cs="Times New Roman"/>
        </w:rPr>
        <w:t xml:space="preserve"> vegetation management required under utility wildfire mitigation plans—including inspection, hazard tree identification, right-of-way clearance, trimming, and </w:t>
      </w:r>
      <w:proofErr w:type="gramStart"/>
      <w:r w:rsidR="000D6018" w:rsidRPr="000D6018">
        <w:rPr>
          <w:rFonts w:ascii="Times New Roman" w:hAnsi="Times New Roman" w:cs="Times New Roman"/>
        </w:rPr>
        <w:t>removal—is performed</w:t>
      </w:r>
      <w:proofErr w:type="gramEnd"/>
      <w:r w:rsidR="000D6018" w:rsidRPr="000D6018">
        <w:rPr>
          <w:rFonts w:ascii="Times New Roman" w:hAnsi="Times New Roman" w:cs="Times New Roman"/>
        </w:rPr>
        <w:t xml:space="preserve"> by specialized UVM contractors operating under utility specifications and oversight. Utilities rely predominantly on contract personnel—not utility employees—</w:t>
      </w:r>
      <w:r w:rsidR="000D6018" w:rsidRPr="000D6018">
        <w:t xml:space="preserve"> </w:t>
      </w:r>
      <w:r w:rsidR="000D6018" w:rsidRPr="000D6018">
        <w:rPr>
          <w:rFonts w:ascii="Times New Roman" w:hAnsi="Times New Roman" w:cs="Times New Roman"/>
        </w:rPr>
        <w:t>to execute these field operations in accordance with the procedures, strategies, and standards set forth in the utility’s wildfire mitigation plan.</w:t>
      </w:r>
    </w:p>
    <w:p w14:paraId="0725D72E" w14:textId="76E6E609" w:rsidR="00863FA4" w:rsidRDefault="00863FA4" w:rsidP="004D65A9">
      <w:pPr>
        <w:rPr>
          <w:rFonts w:ascii="Times New Roman" w:hAnsi="Times New Roman" w:cs="Times New Roman"/>
        </w:rPr>
      </w:pPr>
      <w:r w:rsidRPr="00863FA4">
        <w:rPr>
          <w:rFonts w:ascii="Times New Roman" w:hAnsi="Times New Roman" w:cs="Times New Roman"/>
        </w:rPr>
        <w:t>In turn,</w:t>
      </w:r>
      <w:r>
        <w:rPr>
          <w:rFonts w:ascii="Times New Roman" w:hAnsi="Times New Roman" w:cs="Times New Roman"/>
        </w:rPr>
        <w:t xml:space="preserve"> </w:t>
      </w:r>
      <w:r w:rsidRPr="00863FA4">
        <w:rPr>
          <w:rFonts w:ascii="Times New Roman" w:hAnsi="Times New Roman" w:cs="Times New Roman"/>
        </w:rPr>
        <w:t>Section 6 conditions liability treatment on whether a qualified utility maintains a valid and current wildfire mitigation plan and has substantially complied with its essential elements. Vegetation management under Section 4(3) is one of those essential elements. As a practical matter, utilities demonstrate substantial compliance with vegetation management requirements through work performed in the field by qualified UVM contractors pursuant to the utility’s wildfire mitigation plan. The ability of utilities to meet the bill’s compliance standard is therefore closely tied to the continued capacity of specialized, insured contractors to execute plan-required vegetation management activities.</w:t>
      </w:r>
    </w:p>
    <w:p w14:paraId="56A562AC" w14:textId="08829568" w:rsidR="00863FA4" w:rsidRDefault="00863FA4" w:rsidP="004D65A9">
      <w:pPr>
        <w:ind w:left="-1440"/>
        <w:rPr>
          <w:rFonts w:ascii="Times New Roman" w:hAnsi="Times New Roman" w:cs="Times New Roman"/>
        </w:rPr>
      </w:pPr>
      <w:r w:rsidRPr="00863FA4">
        <w:rPr>
          <w:rFonts w:ascii="Times New Roman" w:hAnsi="Times New Roman" w:cs="Times New Roman"/>
        </w:rPr>
        <w:lastRenderedPageBreak/>
        <w:t>Because contractor capacity is tied to insurance availability, the wildfire insurance market for well-established utility vegetation management (UVM) companies is increasingly constrained. Legal uncertainty surrounding liability allocation in wildfire-related litigation has made wildfire-exposed UVM work difficult for insurers to price, resulting in materially higher premiums, reduced coverage limits, and, in some cases, withdrawal of capacity altogether. In certain markets, excess liability coverage has become prohibitively expensive, and contractors are frequently offered policies with wildfire exclusions or defense-inside-the-limits provisions that shift significant litigation costs to the insured. UVM contractors have, in some instances, reconsidered wildfire-exposed work due to insurance cost or availability constraints. Even where liability is not ultimately established, contractors may be drawn into wildfire litigation based solely on their presence on-site, creating substantial defense cost exposure. Without clearer statutory alignment regarding risk allocation for plan-required vegetation management, these market pressures could persist, creating uncertainty for qualified UVM firms responsible for executing Section 4(3).</w:t>
      </w:r>
    </w:p>
    <w:p w14:paraId="45CA668B" w14:textId="1BC57814" w:rsidR="004D65A9" w:rsidRPr="004D65A9" w:rsidRDefault="00863FA4" w:rsidP="004D65A9">
      <w:pPr>
        <w:ind w:left="-1440"/>
        <w:rPr>
          <w:rFonts w:ascii="Times New Roman" w:hAnsi="Times New Roman" w:cs="Times New Roman"/>
        </w:rPr>
      </w:pPr>
      <w:r>
        <w:rPr>
          <w:rFonts w:ascii="Times New Roman" w:hAnsi="Times New Roman" w:cs="Times New Roman"/>
        </w:rPr>
        <w:t>For these reasons, c</w:t>
      </w:r>
      <w:r w:rsidR="004D65A9" w:rsidRPr="004D65A9">
        <w:rPr>
          <w:rFonts w:ascii="Times New Roman" w:hAnsi="Times New Roman" w:cs="Times New Roman"/>
        </w:rPr>
        <w:t>larifying that contractor-performed vegetation management, when conducted under the authority and direction of a qualified utility and in conformity with a valid and current wildfire mitigation plan, is treated consistently with Section 6 would provide greater predictability regarding risk allocation. That predictability supports insurer participation, contractor capacity, and the effective execution of valid and current wildfire mitigation plans, thereby reinforcing the bill’s objective of enabling utilities to demonstrate substantial compliance with essential mitigation elements while maintaining the accountability standards established in the legislation.</w:t>
      </w:r>
    </w:p>
    <w:p w14:paraId="4620F282" w14:textId="019C5C0E" w:rsidR="009A26C9" w:rsidRDefault="004D65A9" w:rsidP="004D65A9">
      <w:pPr>
        <w:ind w:left="-1440"/>
        <w:rPr>
          <w:rFonts w:ascii="Times New Roman" w:hAnsi="Times New Roman" w:cs="Times New Roman"/>
        </w:rPr>
        <w:sectPr w:rsidR="009A26C9" w:rsidSect="009A26C9">
          <w:type w:val="continuous"/>
          <w:pgSz w:w="12240" w:h="15840"/>
          <w:pgMar w:top="1440" w:right="1080" w:bottom="1440" w:left="2880" w:header="720" w:footer="720" w:gutter="0"/>
          <w:cols w:space="720"/>
          <w:docGrid w:linePitch="360"/>
        </w:sectPr>
      </w:pPr>
      <w:r w:rsidRPr="004D65A9">
        <w:rPr>
          <w:rFonts w:ascii="Times New Roman" w:hAnsi="Times New Roman" w:cs="Times New Roman"/>
        </w:rPr>
        <w:t>Thank you for your leadership on this important issue. TCIA stands ready to serve as a resource as SB 36 moves forward</w:t>
      </w:r>
    </w:p>
    <w:p w14:paraId="31ACA698" w14:textId="77777777" w:rsidR="009A26C9" w:rsidRDefault="009A26C9" w:rsidP="009A26C9">
      <w:pPr>
        <w:rPr>
          <w:rFonts w:ascii="Times New Roman" w:hAnsi="Times New Roman" w:cs="Times New Roman"/>
        </w:rPr>
        <w:sectPr w:rsidR="009A26C9" w:rsidSect="009A26C9">
          <w:type w:val="continuous"/>
          <w:pgSz w:w="12240" w:h="15840"/>
          <w:pgMar w:top="1440" w:right="1440" w:bottom="1440" w:left="1440" w:header="720" w:footer="720" w:gutter="0"/>
          <w:cols w:space="720"/>
          <w:docGrid w:linePitch="360"/>
        </w:sectPr>
      </w:pPr>
    </w:p>
    <w:p w14:paraId="477FEF0F" w14:textId="77777777" w:rsidR="009A26C9" w:rsidRPr="00B0378C" w:rsidRDefault="009A26C9" w:rsidP="009A26C9">
      <w:pPr>
        <w:ind w:left="360" w:right="720"/>
        <w:rPr>
          <w:rFonts w:ascii="Times New Roman" w:hAnsi="Times New Roman" w:cs="Times New Roman"/>
        </w:rPr>
      </w:pPr>
      <w:r w:rsidRPr="00B0378C">
        <w:rPr>
          <w:rFonts w:ascii="Times New Roman" w:hAnsi="Times New Roman" w:cs="Times New Roman"/>
        </w:rPr>
        <w:t>Sincerely,</w:t>
      </w:r>
    </w:p>
    <w:p w14:paraId="1202E420" w14:textId="77777777" w:rsidR="009A26C9" w:rsidRDefault="009A26C9" w:rsidP="009A26C9">
      <w:pPr>
        <w:spacing w:after="0" w:line="240" w:lineRule="auto"/>
        <w:ind w:left="360" w:right="720"/>
        <w:rPr>
          <w:rFonts w:ascii="Times New Roman" w:hAnsi="Times New Roman" w:cs="Times New Roman"/>
        </w:rPr>
      </w:pPr>
      <w:r w:rsidRPr="007124A7">
        <w:rPr>
          <w:rFonts w:ascii="Times New Roman" w:hAnsi="Times New Roman" w:cs="Times New Roman"/>
          <w:noProof/>
        </w:rPr>
        <w:drawing>
          <wp:inline distT="0" distB="0" distL="0" distR="0" wp14:anchorId="0EFAD488" wp14:editId="47B8150F">
            <wp:extent cx="2324100" cy="857250"/>
            <wp:effectExtent l="0" t="0" r="0" b="0"/>
            <wp:docPr id="1454125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857250"/>
                    </a:xfrm>
                    <a:prstGeom prst="rect">
                      <a:avLst/>
                    </a:prstGeom>
                    <a:noFill/>
                    <a:ln>
                      <a:noFill/>
                    </a:ln>
                  </pic:spPr>
                </pic:pic>
              </a:graphicData>
            </a:graphic>
          </wp:inline>
        </w:drawing>
      </w:r>
    </w:p>
    <w:p w14:paraId="13F652A7" w14:textId="77777777" w:rsidR="009A26C9" w:rsidRPr="00B0378C" w:rsidRDefault="009A26C9" w:rsidP="009A26C9">
      <w:pPr>
        <w:spacing w:after="0" w:line="240" w:lineRule="auto"/>
        <w:ind w:left="360" w:right="720"/>
        <w:rPr>
          <w:rFonts w:ascii="Times New Roman" w:hAnsi="Times New Roman" w:cs="Times New Roman"/>
        </w:rPr>
      </w:pPr>
      <w:r w:rsidRPr="00B0378C">
        <w:rPr>
          <w:rFonts w:ascii="Times New Roman" w:hAnsi="Times New Roman" w:cs="Times New Roman"/>
        </w:rPr>
        <w:t>David White, CAE</w:t>
      </w:r>
    </w:p>
    <w:p w14:paraId="6BCD9EE4" w14:textId="77777777" w:rsidR="009A26C9" w:rsidRPr="00B0378C" w:rsidRDefault="009A26C9" w:rsidP="009A26C9">
      <w:pPr>
        <w:spacing w:after="0" w:line="240" w:lineRule="auto"/>
        <w:ind w:left="360" w:right="720"/>
        <w:rPr>
          <w:rFonts w:ascii="Times New Roman" w:hAnsi="Times New Roman" w:cs="Times New Roman"/>
        </w:rPr>
      </w:pPr>
      <w:r w:rsidRPr="00B0378C">
        <w:rPr>
          <w:rFonts w:ascii="Times New Roman" w:hAnsi="Times New Roman" w:cs="Times New Roman"/>
        </w:rPr>
        <w:t>President &amp; CEO, TCIA</w:t>
      </w:r>
    </w:p>
    <w:p w14:paraId="4A5582F2" w14:textId="77777777" w:rsidR="009A26C9" w:rsidRDefault="009A26C9" w:rsidP="009A26C9"/>
    <w:p w14:paraId="221722C1" w14:textId="77777777" w:rsidR="00591BB6" w:rsidRDefault="00591BB6"/>
    <w:sectPr w:rsidR="00591BB6" w:rsidSect="009A26C9">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C9"/>
    <w:rsid w:val="000D6018"/>
    <w:rsid w:val="001A3199"/>
    <w:rsid w:val="002E5FC0"/>
    <w:rsid w:val="004717E3"/>
    <w:rsid w:val="004D65A9"/>
    <w:rsid w:val="00560845"/>
    <w:rsid w:val="00591BB6"/>
    <w:rsid w:val="005A6997"/>
    <w:rsid w:val="00704DC3"/>
    <w:rsid w:val="00863FA4"/>
    <w:rsid w:val="009A26C9"/>
    <w:rsid w:val="00A52A78"/>
    <w:rsid w:val="00AB0B0D"/>
    <w:rsid w:val="00CC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4549"/>
  <w15:chartTrackingRefBased/>
  <w15:docId w15:val="{4B09EDAB-0672-44C1-A57D-8CA662F6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6C9"/>
    <w:pPr>
      <w:spacing w:line="259" w:lineRule="auto"/>
    </w:pPr>
    <w:rPr>
      <w:sz w:val="22"/>
      <w:szCs w:val="22"/>
    </w:rPr>
  </w:style>
  <w:style w:type="paragraph" w:styleId="Heading1">
    <w:name w:val="heading 1"/>
    <w:basedOn w:val="Normal"/>
    <w:next w:val="Normal"/>
    <w:link w:val="Heading1Char"/>
    <w:uiPriority w:val="9"/>
    <w:qFormat/>
    <w:rsid w:val="009A26C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C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C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C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A26C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A26C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A26C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A26C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A26C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6C9"/>
    <w:rPr>
      <w:rFonts w:eastAsiaTheme="majorEastAsia" w:cstheme="majorBidi"/>
      <w:color w:val="272727" w:themeColor="text1" w:themeTint="D8"/>
    </w:rPr>
  </w:style>
  <w:style w:type="paragraph" w:styleId="Title">
    <w:name w:val="Title"/>
    <w:basedOn w:val="Normal"/>
    <w:next w:val="Normal"/>
    <w:link w:val="TitleChar"/>
    <w:uiPriority w:val="10"/>
    <w:qFormat/>
    <w:rsid w:val="009A2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C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6C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A26C9"/>
    <w:rPr>
      <w:i/>
      <w:iCs/>
      <w:color w:val="404040" w:themeColor="text1" w:themeTint="BF"/>
    </w:rPr>
  </w:style>
  <w:style w:type="paragraph" w:styleId="ListParagraph">
    <w:name w:val="List Paragraph"/>
    <w:basedOn w:val="Normal"/>
    <w:uiPriority w:val="34"/>
    <w:qFormat/>
    <w:rsid w:val="009A26C9"/>
    <w:pPr>
      <w:spacing w:line="278" w:lineRule="auto"/>
      <w:ind w:left="720"/>
      <w:contextualSpacing/>
    </w:pPr>
    <w:rPr>
      <w:sz w:val="24"/>
      <w:szCs w:val="24"/>
    </w:rPr>
  </w:style>
  <w:style w:type="character" w:styleId="IntenseEmphasis">
    <w:name w:val="Intense Emphasis"/>
    <w:basedOn w:val="DefaultParagraphFont"/>
    <w:uiPriority w:val="21"/>
    <w:qFormat/>
    <w:rsid w:val="009A26C9"/>
    <w:rPr>
      <w:i/>
      <w:iCs/>
      <w:color w:val="0F4761" w:themeColor="accent1" w:themeShade="BF"/>
    </w:rPr>
  </w:style>
  <w:style w:type="paragraph" w:styleId="IntenseQuote">
    <w:name w:val="Intense Quote"/>
    <w:basedOn w:val="Normal"/>
    <w:next w:val="Normal"/>
    <w:link w:val="IntenseQuoteChar"/>
    <w:uiPriority w:val="30"/>
    <w:qFormat/>
    <w:rsid w:val="009A26C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A26C9"/>
    <w:rPr>
      <w:i/>
      <w:iCs/>
      <w:color w:val="0F4761" w:themeColor="accent1" w:themeShade="BF"/>
    </w:rPr>
  </w:style>
  <w:style w:type="character" w:styleId="IntenseReference">
    <w:name w:val="Intense Reference"/>
    <w:basedOn w:val="DefaultParagraphFont"/>
    <w:uiPriority w:val="32"/>
    <w:qFormat/>
    <w:rsid w:val="009A26C9"/>
    <w:rPr>
      <w:b/>
      <w:bCs/>
      <w:smallCaps/>
      <w:color w:val="0F4761" w:themeColor="accent1" w:themeShade="BF"/>
      <w:spacing w:val="5"/>
    </w:rPr>
  </w:style>
  <w:style w:type="character" w:styleId="Hyperlink">
    <w:name w:val="Hyperlink"/>
    <w:basedOn w:val="DefaultParagraphFont"/>
    <w:uiPriority w:val="99"/>
    <w:unhideWhenUsed/>
    <w:rsid w:val="009A26C9"/>
    <w:rPr>
      <w:color w:val="467886" w:themeColor="hyperlink"/>
      <w:u w:val="single"/>
    </w:rPr>
  </w:style>
  <w:style w:type="character" w:styleId="FollowedHyperlink">
    <w:name w:val="FollowedHyperlink"/>
    <w:basedOn w:val="DefaultParagraphFont"/>
    <w:uiPriority w:val="99"/>
    <w:semiHidden/>
    <w:unhideWhenUsed/>
    <w:rsid w:val="00AB0B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4535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Thomson</dc:creator>
  <cp:keywords/>
  <dc:description/>
  <cp:lastModifiedBy>George Strout</cp:lastModifiedBy>
  <cp:revision>2</cp:revision>
  <dcterms:created xsi:type="dcterms:W3CDTF">2026-02-24T19:21:00Z</dcterms:created>
  <dcterms:modified xsi:type="dcterms:W3CDTF">2026-02-24T19:21:00Z</dcterms:modified>
</cp:coreProperties>
</file>